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08" w:rsidRPr="00F83081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081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</w:t>
      </w:r>
      <w:proofErr w:type="gramStart"/>
      <w:r w:rsidRPr="00F83081">
        <w:rPr>
          <w:rFonts w:ascii="Times New Roman" w:hAnsi="Times New Roman" w:cs="Times New Roman"/>
          <w:sz w:val="28"/>
          <w:szCs w:val="28"/>
        </w:rPr>
        <w:t>сад  №</w:t>
      </w:r>
      <w:proofErr w:type="gramEnd"/>
      <w:r w:rsidRPr="00F8308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«Адаптация к ДОУ в 2018-2019 учебном году»</w:t>
      </w: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психолог: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Юферова Т.В.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возраста: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корпус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«Ромашки»;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«Утята»;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3 </w:t>
      </w:r>
      <w:r w:rsidR="001F22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F22C6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1F22C6">
        <w:rPr>
          <w:rFonts w:ascii="Times New Roman" w:hAnsi="Times New Roman" w:cs="Times New Roman"/>
          <w:sz w:val="28"/>
          <w:szCs w:val="28"/>
        </w:rPr>
        <w:t>»</w:t>
      </w:r>
    </w:p>
    <w:p w:rsidR="001F22C6" w:rsidRDefault="001F22C6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корпус:</w:t>
      </w:r>
    </w:p>
    <w:p w:rsidR="001F22C6" w:rsidRDefault="001F22C6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«Радуга»</w:t>
      </w:r>
    </w:p>
    <w:p w:rsidR="00EF4B08" w:rsidRDefault="001F22C6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Североуральск</w:t>
      </w: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B08" w:rsidRDefault="001F22C6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EF4B08" w:rsidRDefault="00EF4B08" w:rsidP="00EF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380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2018- 2019</w:t>
      </w:r>
      <w:r w:rsidR="00245380" w:rsidRPr="0024538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F22C6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2C6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№ 1 «Ромашки»</w:t>
      </w: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Списочный состав 19 чел.</w:t>
      </w: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Фактически посещают ДОУ 17 чел.</w:t>
      </w: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 xml:space="preserve">Легкая адаптация </w:t>
      </w:r>
      <w:r w:rsidR="00B462A0">
        <w:rPr>
          <w:rFonts w:ascii="Times New Roman" w:hAnsi="Times New Roman" w:cs="Times New Roman"/>
          <w:sz w:val="28"/>
          <w:szCs w:val="28"/>
        </w:rPr>
        <w:t>–10 чел.-</w:t>
      </w:r>
      <w:r w:rsidRPr="001F22C6">
        <w:rPr>
          <w:rFonts w:ascii="Times New Roman" w:hAnsi="Times New Roman" w:cs="Times New Roman"/>
          <w:sz w:val="28"/>
          <w:szCs w:val="28"/>
        </w:rPr>
        <w:t xml:space="preserve"> 59 %</w:t>
      </w:r>
    </w:p>
    <w:p w:rsidR="001F22C6" w:rsidRPr="001F22C6" w:rsidRDefault="00B462A0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адаптация – 3 чел. - </w:t>
      </w:r>
      <w:r w:rsidR="001F22C6" w:rsidRPr="001F22C6">
        <w:rPr>
          <w:rFonts w:ascii="Times New Roman" w:hAnsi="Times New Roman" w:cs="Times New Roman"/>
          <w:sz w:val="28"/>
          <w:szCs w:val="28"/>
        </w:rPr>
        <w:t xml:space="preserve"> 18 %</w:t>
      </w: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Поведение не нормализовано – 4 детей, 23 %</w:t>
      </w:r>
    </w:p>
    <w:p w:rsidR="001F22C6" w:rsidRPr="001F22C6" w:rsidRDefault="001F22C6" w:rsidP="001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C6" w:rsidRDefault="001F22C6" w:rsidP="001F2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453D1C" wp14:editId="0C463C82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22C6" w:rsidRDefault="001F22C6" w:rsidP="001F22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2C6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2C6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2C6" w:rsidRPr="00245380" w:rsidRDefault="001F22C6" w:rsidP="0024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80" w:rsidRDefault="00245380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C8A" w:rsidRDefault="001F22C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Группа раннего возраста № 2</w:t>
      </w:r>
    </w:p>
    <w:p w:rsidR="001F22C6" w:rsidRPr="001F22C6" w:rsidRDefault="001F22C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«Утята»</w:t>
      </w:r>
    </w:p>
    <w:p w:rsidR="00B0543E" w:rsidRPr="001F22C6" w:rsidRDefault="00B0543E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Списочный состав 12 чел.</w:t>
      </w:r>
    </w:p>
    <w:p w:rsidR="00B0543E" w:rsidRPr="001F22C6" w:rsidRDefault="00B0543E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2</w:t>
      </w:r>
      <w:r w:rsidR="00006763" w:rsidRPr="001F22C6">
        <w:rPr>
          <w:rFonts w:ascii="Times New Roman" w:hAnsi="Times New Roman" w:cs="Times New Roman"/>
          <w:sz w:val="28"/>
          <w:szCs w:val="28"/>
        </w:rPr>
        <w:t xml:space="preserve"> детей, 17</w:t>
      </w:r>
      <w:r w:rsidRPr="001F22C6">
        <w:rPr>
          <w:rFonts w:ascii="Times New Roman" w:hAnsi="Times New Roman" w:cs="Times New Roman"/>
          <w:sz w:val="28"/>
          <w:szCs w:val="28"/>
        </w:rPr>
        <w:t xml:space="preserve">% -  адаптированы </w:t>
      </w:r>
    </w:p>
    <w:p w:rsidR="00B0543E" w:rsidRPr="001F22C6" w:rsidRDefault="00B0543E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 xml:space="preserve">6 детей, 50% на данном этапе не прошли адаптацию, </w:t>
      </w:r>
      <w:proofErr w:type="gramStart"/>
      <w:r w:rsidRPr="001F22C6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Pr="001F22C6">
        <w:rPr>
          <w:rFonts w:ascii="Times New Roman" w:hAnsi="Times New Roman" w:cs="Times New Roman"/>
          <w:sz w:val="28"/>
          <w:szCs w:val="28"/>
        </w:rPr>
        <w:t xml:space="preserve"> 3 пришли в ДОУ в ноябре 2018 года, у 3 детей не нормализовалось поведение, психологическое и физическое здоровье.</w:t>
      </w:r>
    </w:p>
    <w:p w:rsidR="00B0543E" w:rsidRPr="001F22C6" w:rsidRDefault="00B0543E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1 ребенок, 8 % прошел адаптацию легко, общая оценка 3,0</w:t>
      </w:r>
    </w:p>
    <w:p w:rsidR="00B0543E" w:rsidRPr="001F22C6" w:rsidRDefault="0000676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3</w:t>
      </w:r>
      <w:r w:rsidR="00B0543E" w:rsidRPr="001F22C6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F22C6">
        <w:rPr>
          <w:rFonts w:ascii="Times New Roman" w:hAnsi="Times New Roman" w:cs="Times New Roman"/>
          <w:sz w:val="28"/>
          <w:szCs w:val="28"/>
        </w:rPr>
        <w:t xml:space="preserve">, 25 </w:t>
      </w:r>
      <w:r w:rsidR="00B0543E" w:rsidRPr="001F22C6">
        <w:rPr>
          <w:rFonts w:ascii="Times New Roman" w:hAnsi="Times New Roman" w:cs="Times New Roman"/>
          <w:sz w:val="28"/>
          <w:szCs w:val="28"/>
        </w:rPr>
        <w:t>%   на среднем уровне</w:t>
      </w:r>
    </w:p>
    <w:p w:rsidR="00B0543E" w:rsidRPr="00B832FC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775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0543E" w:rsidRPr="00B832FC" w:rsidRDefault="00B0543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63" w:rsidRPr="001F22C6" w:rsidRDefault="001F22C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 xml:space="preserve">Группа раннего возраста № 3 </w:t>
      </w:r>
    </w:p>
    <w:p w:rsidR="001F22C6" w:rsidRPr="001F22C6" w:rsidRDefault="001F22C6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22C6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1F22C6">
        <w:rPr>
          <w:rFonts w:ascii="Times New Roman" w:hAnsi="Times New Roman" w:cs="Times New Roman"/>
          <w:sz w:val="28"/>
          <w:szCs w:val="28"/>
        </w:rPr>
        <w:t>»</w:t>
      </w:r>
    </w:p>
    <w:p w:rsidR="00601B33" w:rsidRPr="001F22C6" w:rsidRDefault="00601B3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Списочный состав детей 20 человек</w:t>
      </w:r>
      <w:r w:rsidR="00A3508F" w:rsidRPr="001F22C6">
        <w:rPr>
          <w:rFonts w:ascii="Times New Roman" w:hAnsi="Times New Roman" w:cs="Times New Roman"/>
          <w:sz w:val="28"/>
          <w:szCs w:val="28"/>
        </w:rPr>
        <w:t>, фактически посещают ДОУ – 19 чел.</w:t>
      </w:r>
    </w:p>
    <w:p w:rsidR="00601B33" w:rsidRPr="001F22C6" w:rsidRDefault="00601B33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5 детей, 2</w:t>
      </w:r>
      <w:r w:rsidR="00A3508F" w:rsidRPr="001F22C6">
        <w:rPr>
          <w:rFonts w:ascii="Times New Roman" w:hAnsi="Times New Roman" w:cs="Times New Roman"/>
          <w:sz w:val="28"/>
          <w:szCs w:val="28"/>
        </w:rPr>
        <w:t>6</w:t>
      </w:r>
      <w:r w:rsidRPr="001F22C6">
        <w:rPr>
          <w:rFonts w:ascii="Times New Roman" w:hAnsi="Times New Roman" w:cs="Times New Roman"/>
          <w:sz w:val="28"/>
          <w:szCs w:val="28"/>
        </w:rPr>
        <w:t>% прошли адаптацию в 2017-2018 учебном году;</w:t>
      </w:r>
    </w:p>
    <w:p w:rsidR="00601B33" w:rsidRPr="001F22C6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6</w:t>
      </w:r>
      <w:r w:rsidR="00601B33" w:rsidRPr="001F22C6">
        <w:rPr>
          <w:rFonts w:ascii="Times New Roman" w:hAnsi="Times New Roman" w:cs="Times New Roman"/>
          <w:sz w:val="28"/>
          <w:szCs w:val="28"/>
        </w:rPr>
        <w:t xml:space="preserve"> – </w:t>
      </w:r>
      <w:r w:rsidRPr="001F22C6">
        <w:rPr>
          <w:rFonts w:ascii="Times New Roman" w:hAnsi="Times New Roman" w:cs="Times New Roman"/>
          <w:sz w:val="28"/>
          <w:szCs w:val="28"/>
        </w:rPr>
        <w:t>33</w:t>
      </w:r>
      <w:proofErr w:type="gramStart"/>
      <w:r w:rsidR="00601B33" w:rsidRPr="001F22C6">
        <w:rPr>
          <w:rFonts w:ascii="Times New Roman" w:hAnsi="Times New Roman" w:cs="Times New Roman"/>
          <w:sz w:val="28"/>
          <w:szCs w:val="28"/>
        </w:rPr>
        <w:t>%  адаптация</w:t>
      </w:r>
      <w:proofErr w:type="gramEnd"/>
      <w:r w:rsidR="00601B33" w:rsidRPr="001F22C6">
        <w:rPr>
          <w:rFonts w:ascii="Times New Roman" w:hAnsi="Times New Roman" w:cs="Times New Roman"/>
          <w:sz w:val="28"/>
          <w:szCs w:val="28"/>
        </w:rPr>
        <w:t xml:space="preserve"> прошла легко</w:t>
      </w:r>
      <w:r w:rsidRPr="001F22C6">
        <w:rPr>
          <w:rFonts w:ascii="Times New Roman" w:hAnsi="Times New Roman" w:cs="Times New Roman"/>
          <w:sz w:val="28"/>
          <w:szCs w:val="28"/>
        </w:rPr>
        <w:t>;</w:t>
      </w:r>
    </w:p>
    <w:p w:rsidR="00A3508F" w:rsidRPr="001F22C6" w:rsidRDefault="00A3508F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5 детей, 26 % прош</w:t>
      </w:r>
      <w:r w:rsidR="008D256C" w:rsidRPr="001F22C6">
        <w:rPr>
          <w:rFonts w:ascii="Times New Roman" w:hAnsi="Times New Roman" w:cs="Times New Roman"/>
          <w:sz w:val="28"/>
          <w:szCs w:val="28"/>
        </w:rPr>
        <w:t>ли адаптацию на среднем уровне,</w:t>
      </w:r>
    </w:p>
    <w:p w:rsidR="00A3508F" w:rsidRPr="001F22C6" w:rsidRDefault="00A3508F" w:rsidP="00B83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2C6">
        <w:rPr>
          <w:rFonts w:ascii="Times New Roman" w:hAnsi="Times New Roman" w:cs="Times New Roman"/>
          <w:sz w:val="28"/>
          <w:szCs w:val="28"/>
        </w:rPr>
        <w:t>3 – находятся на адаптации</w:t>
      </w:r>
      <w:r w:rsidR="00B832FC" w:rsidRPr="001F22C6">
        <w:rPr>
          <w:rFonts w:ascii="Times New Roman" w:hAnsi="Times New Roman" w:cs="Times New Roman"/>
          <w:sz w:val="28"/>
          <w:szCs w:val="28"/>
        </w:rPr>
        <w:t>, 16%</w:t>
      </w:r>
      <w:r w:rsidRPr="001F22C6">
        <w:rPr>
          <w:rFonts w:ascii="Times New Roman" w:hAnsi="Times New Roman" w:cs="Times New Roman"/>
          <w:sz w:val="28"/>
          <w:szCs w:val="28"/>
        </w:rPr>
        <w:t>, поведенческие реакции не нормализовались;</w:t>
      </w:r>
    </w:p>
    <w:p w:rsidR="008D256C" w:rsidRPr="00B832FC" w:rsidRDefault="008D256C" w:rsidP="00B83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08F" w:rsidRPr="00B832FC" w:rsidRDefault="00A3508F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8375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1B33" w:rsidRDefault="00601B33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97E" w:rsidRDefault="0082397E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1B1" w:rsidRPr="00B462A0" w:rsidRDefault="007B61B1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1B1" w:rsidRPr="00B462A0" w:rsidRDefault="00B462A0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>«Радуга»</w:t>
      </w:r>
    </w:p>
    <w:p w:rsidR="007B61B1" w:rsidRPr="00B462A0" w:rsidRDefault="0091339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>Списочный состав 14 человек</w:t>
      </w:r>
    </w:p>
    <w:p w:rsidR="00913392" w:rsidRPr="00B462A0" w:rsidRDefault="0091339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>Легкая – 10 чел.- 72%</w:t>
      </w:r>
    </w:p>
    <w:p w:rsidR="00913392" w:rsidRPr="00B462A0" w:rsidRDefault="0091339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 xml:space="preserve">Средняя – 2 </w:t>
      </w:r>
      <w:proofErr w:type="gramStart"/>
      <w:r w:rsidRPr="00B462A0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Pr="00B462A0">
        <w:rPr>
          <w:rFonts w:ascii="Times New Roman" w:hAnsi="Times New Roman" w:cs="Times New Roman"/>
          <w:sz w:val="28"/>
          <w:szCs w:val="28"/>
        </w:rPr>
        <w:t>, 14%</w:t>
      </w:r>
    </w:p>
    <w:p w:rsidR="00913392" w:rsidRPr="00B462A0" w:rsidRDefault="0091339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>Тяжелая – 0</w:t>
      </w:r>
    </w:p>
    <w:p w:rsidR="00913392" w:rsidRPr="00B462A0" w:rsidRDefault="00913392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2A0">
        <w:rPr>
          <w:rFonts w:ascii="Times New Roman" w:hAnsi="Times New Roman" w:cs="Times New Roman"/>
          <w:sz w:val="28"/>
          <w:szCs w:val="28"/>
        </w:rPr>
        <w:t>Поведение не нормализовалось – 2 чел., 14%</w:t>
      </w: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256C" w:rsidRDefault="008D256C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 xml:space="preserve">В целом по ДОУ </w:t>
      </w:r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>В 2018-2019 учебном году в ДОУ поступило 61 чел.</w:t>
      </w:r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>Прошли адаптацию в 2017- 2018 уч. году – 7 чел., 1</w:t>
      </w:r>
      <w:r w:rsidR="003725E9" w:rsidRPr="00474E52">
        <w:rPr>
          <w:rFonts w:ascii="Times New Roman" w:hAnsi="Times New Roman" w:cs="Times New Roman"/>
          <w:sz w:val="28"/>
          <w:szCs w:val="28"/>
        </w:rPr>
        <w:t>1</w:t>
      </w:r>
      <w:r w:rsidRPr="00474E52">
        <w:rPr>
          <w:rFonts w:ascii="Times New Roman" w:hAnsi="Times New Roman" w:cs="Times New Roman"/>
          <w:sz w:val="28"/>
          <w:szCs w:val="28"/>
        </w:rPr>
        <w:t xml:space="preserve"> % </w:t>
      </w:r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>Легкая</w:t>
      </w:r>
      <w:r w:rsidR="003725E9" w:rsidRPr="00474E52">
        <w:rPr>
          <w:rFonts w:ascii="Times New Roman" w:hAnsi="Times New Roman" w:cs="Times New Roman"/>
          <w:sz w:val="28"/>
          <w:szCs w:val="28"/>
        </w:rPr>
        <w:t xml:space="preserve">- 32 чел., 52 </w:t>
      </w:r>
      <w:r w:rsidRPr="00474E52">
        <w:rPr>
          <w:rFonts w:ascii="Times New Roman" w:hAnsi="Times New Roman" w:cs="Times New Roman"/>
          <w:sz w:val="28"/>
          <w:szCs w:val="28"/>
        </w:rPr>
        <w:t>%</w:t>
      </w:r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 xml:space="preserve">Средняя – 13 детей, </w:t>
      </w:r>
      <w:r w:rsidR="003725E9" w:rsidRPr="00474E52">
        <w:rPr>
          <w:rFonts w:ascii="Times New Roman" w:hAnsi="Times New Roman" w:cs="Times New Roman"/>
          <w:sz w:val="28"/>
          <w:szCs w:val="28"/>
        </w:rPr>
        <w:t>21 %</w:t>
      </w:r>
    </w:p>
    <w:p w:rsidR="008D256C" w:rsidRPr="00474E52" w:rsidRDefault="008D256C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 xml:space="preserve">Тяжелая </w:t>
      </w:r>
      <w:r w:rsidR="003725E9" w:rsidRPr="00474E52">
        <w:rPr>
          <w:rFonts w:ascii="Times New Roman" w:hAnsi="Times New Roman" w:cs="Times New Roman"/>
          <w:sz w:val="28"/>
          <w:szCs w:val="28"/>
        </w:rPr>
        <w:t xml:space="preserve">– </w:t>
      </w:r>
      <w:r w:rsidR="0082397E" w:rsidRPr="00474E52">
        <w:rPr>
          <w:rFonts w:ascii="Times New Roman" w:hAnsi="Times New Roman" w:cs="Times New Roman"/>
          <w:sz w:val="28"/>
          <w:szCs w:val="28"/>
        </w:rPr>
        <w:t>1</w:t>
      </w:r>
      <w:r w:rsidR="003725E9" w:rsidRPr="00474E52">
        <w:rPr>
          <w:rFonts w:ascii="Times New Roman" w:hAnsi="Times New Roman" w:cs="Times New Roman"/>
          <w:sz w:val="28"/>
          <w:szCs w:val="28"/>
        </w:rPr>
        <w:t xml:space="preserve"> (ведется наблюдение)</w:t>
      </w:r>
    </w:p>
    <w:p w:rsidR="003725E9" w:rsidRPr="00474E52" w:rsidRDefault="003725E9" w:rsidP="00B83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2">
        <w:rPr>
          <w:rFonts w:ascii="Times New Roman" w:hAnsi="Times New Roman" w:cs="Times New Roman"/>
          <w:sz w:val="28"/>
          <w:szCs w:val="28"/>
        </w:rPr>
        <w:t>Поведение не нормализовалось, адаптационный период не прошел – 14 детей, 23 %</w:t>
      </w:r>
    </w:p>
    <w:p w:rsidR="003725E9" w:rsidRPr="00B832FC" w:rsidRDefault="003725E9" w:rsidP="00B8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4070" cy="3703320"/>
            <wp:effectExtent l="19050" t="0" r="1143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725E9" w:rsidRPr="00B832FC" w:rsidSect="007B61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855"/>
    <w:rsid w:val="00006763"/>
    <w:rsid w:val="000E0323"/>
    <w:rsid w:val="001F22C6"/>
    <w:rsid w:val="00245380"/>
    <w:rsid w:val="00292442"/>
    <w:rsid w:val="003725E9"/>
    <w:rsid w:val="00404D7A"/>
    <w:rsid w:val="00474E52"/>
    <w:rsid w:val="00601B33"/>
    <w:rsid w:val="006F1EF3"/>
    <w:rsid w:val="007B61B1"/>
    <w:rsid w:val="0082397E"/>
    <w:rsid w:val="008D256C"/>
    <w:rsid w:val="008F08E3"/>
    <w:rsid w:val="00913392"/>
    <w:rsid w:val="00922654"/>
    <w:rsid w:val="009A6855"/>
    <w:rsid w:val="009D548C"/>
    <w:rsid w:val="00A3508F"/>
    <w:rsid w:val="00B0543E"/>
    <w:rsid w:val="00B462A0"/>
    <w:rsid w:val="00B832FC"/>
    <w:rsid w:val="00BB1C8A"/>
    <w:rsid w:val="00EF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14B96-4C3E-417B-9545-5EB0183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на адаптации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18</c:v>
                </c:pt>
                <c:pt idx="2">
                  <c:v>0</c:v>
                </c:pt>
                <c:pt idx="3">
                  <c:v>23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на адаптации</c:v>
                </c:pt>
                <c:pt idx="2">
                  <c:v>легкая</c:v>
                </c:pt>
                <c:pt idx="3">
                  <c:v>средняя</c:v>
                </c:pt>
                <c:pt idx="4">
                  <c:v>тяжелая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50</c:v>
                </c:pt>
                <c:pt idx="2">
                  <c:v>8</c:v>
                </c:pt>
                <c:pt idx="3">
                  <c:v>25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51C8EF5-40F5-4A87-80EC-24CC41C27881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
33%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 </c:v>
                </c:pt>
                <c:pt idx="3">
                  <c:v>тяжелая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33</c:v>
                </c:pt>
                <c:pt idx="2">
                  <c:v>26</c:v>
                </c:pt>
                <c:pt idx="3">
                  <c:v>0</c:v>
                </c:pt>
                <c:pt idx="4">
                  <c:v>16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на адаптации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</c:v>
                </c:pt>
                <c:pt idx="1">
                  <c:v>14</c:v>
                </c:pt>
                <c:pt idx="2">
                  <c:v>0</c:v>
                </c:pt>
                <c:pt idx="3">
                  <c:v>14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адаптированы; 11%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легкая; 52%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средняя; 21%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на адаптации 23%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адаптированы</c:v>
                </c:pt>
                <c:pt idx="1">
                  <c:v>легкая</c:v>
                </c:pt>
                <c:pt idx="2">
                  <c:v>средняя</c:v>
                </c:pt>
                <c:pt idx="3">
                  <c:v>тяжелая </c:v>
                </c:pt>
                <c:pt idx="4">
                  <c:v>на адаптации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52</c:v>
                </c:pt>
                <c:pt idx="2">
                  <c:v>21</c:v>
                </c:pt>
                <c:pt idx="3">
                  <c:v>0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Деда</dc:creator>
  <cp:keywords/>
  <dc:description/>
  <cp:lastModifiedBy>Деда</cp:lastModifiedBy>
  <cp:revision>8</cp:revision>
  <cp:lastPrinted>2022-01-20T07:47:00Z</cp:lastPrinted>
  <dcterms:created xsi:type="dcterms:W3CDTF">2018-12-02T12:12:00Z</dcterms:created>
  <dcterms:modified xsi:type="dcterms:W3CDTF">2024-04-02T10:44:00Z</dcterms:modified>
</cp:coreProperties>
</file>